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>Program „Opieka wytchnieniowa”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E55FA6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50B55E14" w14:textId="7CA8701A" w:rsidR="008859E3" w:rsidRPr="000339C9" w:rsidRDefault="0062179E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58E6FEF4" w14:textId="77777777" w:rsidR="00FD1E67" w:rsidRPr="000339C9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0" w:name="_Toc84493412"/>
      <w:r w:rsidRPr="000339C9">
        <w:rPr>
          <w:rFonts w:ascii="Calibri" w:hAnsi="Calibri" w:cs="Calibri"/>
          <w:sz w:val="28"/>
          <w:szCs w:val="28"/>
        </w:rPr>
        <w:lastRenderedPageBreak/>
        <w:t>Wstęp</w:t>
      </w:r>
      <w:bookmarkEnd w:id="0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Program „Opieka wytchnieniowa”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>„Opieka wytchnieniowa”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>rogramu wskazują na konieczność kontynuacji działań zmierzających do zwiększenia dostępności tego rodzaju wsparcia dla osób niepełnosprawnych oraz ich opiekunów i rozwijania systemu opieki wytchnieniowej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Zapewnienie wsparcia w zakresie usług opieki wytchnieniowej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Opieka wytchnieniowa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1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1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2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wytchnienio</w:t>
      </w:r>
      <w:r w:rsidR="00A971C0" w:rsidRPr="000339C9">
        <w:rPr>
          <w:rFonts w:hAnsi="Calibri" w:cs="Calibri"/>
          <w:sz w:val="24"/>
          <w:szCs w:val="24"/>
        </w:rPr>
        <w:t xml:space="preserve">wa”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wytchnieniowa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>zwiększył się zakres i zasięg realizacji usług opieki wytchnieniowej.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>Należy podkreślić, że wsparcie w formie usługi opieki wytchnieniowej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3" w:name="_Toc82001604"/>
      <w:bookmarkStart w:id="4" w:name="_Toc82001762"/>
      <w:bookmarkStart w:id="5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3"/>
      <w:bookmarkEnd w:id="4"/>
      <w:bookmarkEnd w:id="5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6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6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‒ poprzez możliwość uzyskania doraźnej, czasowej pomocy w formie usługi opieki wytchnieniowej.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wytchnieniowej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wytchnieniowej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lastRenderedPageBreak/>
        <w:t>wsparcie finansowe gmin/powiatów w zakresie realizacji usług opieki wytchnieniowej</w:t>
      </w:r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7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wytchnieniowej,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wytchnieniowej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8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>otrzymuje wsparcie finansowe w zakresie świadczenia usług opieki wytchnieniowej,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</w:t>
      </w:r>
      <w:r w:rsidR="00B34C5C" w:rsidRPr="000339C9">
        <w:rPr>
          <w:rFonts w:hAnsi="Calibri" w:cs="Calibri"/>
          <w:sz w:val="24"/>
          <w:szCs w:val="24"/>
        </w:rPr>
        <w:lastRenderedPageBreak/>
        <w:t xml:space="preserve">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wytchnieniowej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>Kartę będą mieć zapewniony dostęp do usługi opieki wytchnieniowej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wytchnieniowej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lastRenderedPageBreak/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świadczenia usług opieki wytchnieniowej,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godzinach realizacji usług opieki wytchnieniowej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>, z późn.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339C9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>Usługi opieki wytchnieniowej</w:t>
      </w:r>
      <w:r w:rsidRPr="000339C9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339C9">
        <w:rPr>
          <w:rFonts w:hAnsi="Calibri" w:cs="Calibri"/>
          <w:sz w:val="24"/>
          <w:szCs w:val="24"/>
          <w:lang w:eastAsia="en-US"/>
        </w:rPr>
        <w:t>pkt 1</w:t>
      </w:r>
      <w:r w:rsidRPr="000339C9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339C9">
        <w:rPr>
          <w:rFonts w:hAnsi="Calibri" w:cs="Calibri"/>
          <w:sz w:val="24"/>
          <w:szCs w:val="24"/>
          <w:lang w:eastAsia="en-US"/>
        </w:rPr>
        <w:t xml:space="preserve">oraz </w:t>
      </w:r>
      <w:r w:rsidRPr="000339C9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339C9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wytchnieniowej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 w:rsidR="00A0478C">
        <w:rPr>
          <w:rFonts w:hAnsi="Calibri" w:cs="Calibri"/>
          <w:sz w:val="24"/>
          <w:szCs w:val="24"/>
        </w:rPr>
        <w:t xml:space="preserve"> Programu „Opieka wytchnieniowa” – edycja 2022</w:t>
      </w:r>
      <w:r w:rsidRPr="000339C9">
        <w:rPr>
          <w:rFonts w:hAnsi="Calibri" w:cs="Calibri"/>
          <w:sz w:val="24"/>
          <w:szCs w:val="24"/>
        </w:rPr>
        <w:t xml:space="preserve">, </w:t>
      </w:r>
      <w:r w:rsidR="00A0478C"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załącznik nr </w:t>
      </w:r>
      <w:r w:rsidR="00230AA8" w:rsidRPr="000339C9">
        <w:rPr>
          <w:rFonts w:hAnsi="Calibri" w:cs="Calibri"/>
          <w:sz w:val="24"/>
          <w:szCs w:val="24"/>
        </w:rPr>
        <w:t>8</w:t>
      </w:r>
      <w:r w:rsidR="00475070" w:rsidRPr="000339C9">
        <w:rPr>
          <w:rFonts w:hAnsi="Calibri" w:cs="Calibri"/>
          <w:sz w:val="24"/>
          <w:szCs w:val="24"/>
        </w:rPr>
        <w:t xml:space="preserve"> do Programu</w:t>
      </w:r>
      <w:r w:rsidRPr="000339C9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przypadku świadczenia usług opieki wytchnieniowej,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lastRenderedPageBreak/>
        <w:t>Limit usług opieki wytchnieniowej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240 godzin dla usług opieki wytchnieniowej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14 dni dla usług opieki wytchnieniowej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>Usługi opieki wytchnieniowej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>przyznano pomoc w postaci usług opieki wytchnieniowej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Usługi opieki wytchnieniowej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wytchnieniowej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wytchnieniowej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lastRenderedPageBreak/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wytchnieniowej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>Opieka wytchnieniowa</w:t>
      </w:r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Kolejne zgłoszenia potrzeb usług opieki wytchnieniowej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wytchnieniowa</w:t>
      </w:r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wytchnieniowej.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>oświadczenie o wcześniejszym korzystaniu z usług opieki wytchnieniowej.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1) osoby, która będzie świadczyć usługę opieki wytchnieniowej;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wytchnieniowej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>może wyrazić zgodę na zwiększenie liczby godzin usług opieki wytchnieniowej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>dokonuje rozliczenia usług opieki wytchnieniowej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wytchnieniowej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wytchnieniowa</w:t>
      </w:r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339C9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339C9">
        <w:rPr>
          <w:rFonts w:hAnsi="Calibri" w:cs="Calibri"/>
          <w:sz w:val="24"/>
          <w:szCs w:val="24"/>
        </w:rPr>
        <w:t xml:space="preserve"> </w:t>
      </w:r>
      <w:r w:rsidR="00416793" w:rsidRPr="000339C9">
        <w:rPr>
          <w:rFonts w:hAnsi="Calibri" w:cs="Calibri"/>
          <w:sz w:val="24"/>
          <w:szCs w:val="24"/>
        </w:rPr>
        <w:t>wytchnieniowej,</w:t>
      </w:r>
      <w:r w:rsidRPr="000339C9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usługi</w:t>
      </w:r>
      <w:r w:rsidR="00960031" w:rsidRPr="000339C9">
        <w:rPr>
          <w:rFonts w:hAnsi="Calibri" w:cs="Calibri"/>
          <w:sz w:val="24"/>
          <w:szCs w:val="24"/>
        </w:rPr>
        <w:t xml:space="preserve"> </w:t>
      </w:r>
      <w:r w:rsidR="00461793" w:rsidRPr="000339C9">
        <w:rPr>
          <w:rFonts w:hAnsi="Calibri" w:cs="Calibri"/>
          <w:sz w:val="24"/>
          <w:szCs w:val="24"/>
        </w:rPr>
        <w:t xml:space="preserve">opieki wytchnieniowej </w:t>
      </w:r>
      <w:r w:rsidR="00960031" w:rsidRPr="000339C9">
        <w:rPr>
          <w:rFonts w:hAnsi="Calibri" w:cs="Calibri"/>
          <w:sz w:val="24"/>
          <w:szCs w:val="24"/>
        </w:rPr>
        <w:t>realizuje samodzielnie</w:t>
      </w:r>
      <w:r w:rsidR="00461793" w:rsidRPr="000339C9">
        <w:rPr>
          <w:rFonts w:hAnsi="Calibri" w:cs="Calibri"/>
          <w:sz w:val="24"/>
          <w:szCs w:val="24"/>
        </w:rPr>
        <w:t>,</w:t>
      </w:r>
      <w:r w:rsidR="00960031" w:rsidRPr="000339C9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339C9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339C9">
        <w:rPr>
          <w:rFonts w:hAnsi="Calibri" w:cs="Calibri"/>
          <w:sz w:val="24"/>
          <w:szCs w:val="24"/>
        </w:rPr>
        <w:t>;</w:t>
      </w:r>
    </w:p>
    <w:p w14:paraId="38D0905F" w14:textId="54A4F361" w:rsidR="001A2FA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zleca realizację usług</w:t>
      </w:r>
      <w:r w:rsidR="00960031" w:rsidRPr="00A5705D">
        <w:rPr>
          <w:rFonts w:hAnsi="Calibri" w:cs="Calibri"/>
          <w:sz w:val="24"/>
          <w:szCs w:val="24"/>
        </w:rPr>
        <w:t xml:space="preserve"> </w:t>
      </w:r>
      <w:r w:rsidR="00461793" w:rsidRPr="00A5705D">
        <w:rPr>
          <w:rFonts w:hAnsi="Calibri" w:cs="Calibri"/>
          <w:sz w:val="24"/>
          <w:szCs w:val="24"/>
        </w:rPr>
        <w:t xml:space="preserve">opieki wytchnieniowej </w:t>
      </w:r>
      <w:r w:rsidR="005E2A1C" w:rsidRPr="00A5705D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A5705D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A5705D">
        <w:rPr>
          <w:rFonts w:hAnsi="Calibri" w:cs="Calibri"/>
          <w:sz w:val="24"/>
          <w:szCs w:val="24"/>
        </w:rPr>
        <w:t xml:space="preserve">2020 </w:t>
      </w:r>
      <w:r w:rsidR="00461793" w:rsidRPr="00A5705D">
        <w:rPr>
          <w:rFonts w:hAnsi="Calibri" w:cs="Calibri"/>
          <w:sz w:val="24"/>
          <w:szCs w:val="24"/>
        </w:rPr>
        <w:t xml:space="preserve">r. poz. </w:t>
      </w:r>
      <w:r w:rsidR="00C05C59" w:rsidRPr="00A5705D">
        <w:rPr>
          <w:rFonts w:hAnsi="Calibri" w:cs="Calibri"/>
          <w:sz w:val="24"/>
          <w:szCs w:val="24"/>
        </w:rPr>
        <w:t>1057</w:t>
      </w:r>
      <w:r w:rsidR="00500356" w:rsidRPr="00A5705D">
        <w:rPr>
          <w:rFonts w:hAnsi="Calibri" w:cs="Calibri"/>
          <w:sz w:val="24"/>
          <w:szCs w:val="24"/>
        </w:rPr>
        <w:t>, z późn. zm.</w:t>
      </w:r>
      <w:r w:rsidR="00461793" w:rsidRPr="00A5705D">
        <w:rPr>
          <w:rFonts w:hAnsi="Calibri" w:cs="Calibri"/>
          <w:sz w:val="24"/>
          <w:szCs w:val="24"/>
        </w:rPr>
        <w:t xml:space="preserve">) </w:t>
      </w:r>
      <w:r w:rsidR="005E2A1C" w:rsidRPr="00A5705D">
        <w:rPr>
          <w:rFonts w:hAnsi="Calibri" w:cs="Calibri"/>
          <w:sz w:val="24"/>
          <w:szCs w:val="24"/>
        </w:rPr>
        <w:t>oraz podmiotom, o których mowa w art. 3 ust</w:t>
      </w:r>
      <w:r w:rsidR="00EE4159" w:rsidRPr="00A5705D">
        <w:rPr>
          <w:rFonts w:hAnsi="Calibri" w:cs="Calibri"/>
          <w:sz w:val="24"/>
          <w:szCs w:val="24"/>
        </w:rPr>
        <w:t>.</w:t>
      </w:r>
      <w:r w:rsidR="005E2A1C" w:rsidRPr="00A5705D">
        <w:rPr>
          <w:rFonts w:hAnsi="Calibri" w:cs="Calibri"/>
          <w:sz w:val="24"/>
          <w:szCs w:val="24"/>
        </w:rPr>
        <w:t xml:space="preserve"> 3 </w:t>
      </w:r>
      <w:r w:rsidR="00461793" w:rsidRPr="00A5705D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A5705D">
        <w:rPr>
          <w:rFonts w:hAnsi="Calibri" w:cs="Calibri"/>
          <w:sz w:val="24"/>
          <w:szCs w:val="24"/>
        </w:rPr>
        <w:t xml:space="preserve">zatrudnia pracowników realizujących </w:t>
      </w:r>
      <w:r w:rsidR="00F52805">
        <w:rPr>
          <w:rFonts w:hAnsi="Calibri" w:cs="Calibri"/>
          <w:sz w:val="24"/>
          <w:szCs w:val="24"/>
        </w:rPr>
        <w:t>usługi</w:t>
      </w:r>
      <w:r w:rsidR="00900FB6" w:rsidRPr="00A5705D">
        <w:rPr>
          <w:rFonts w:hAnsi="Calibri" w:cs="Calibri"/>
          <w:sz w:val="24"/>
          <w:szCs w:val="24"/>
        </w:rPr>
        <w:t xml:space="preserve"> opieki wytchnieniowej </w:t>
      </w:r>
      <w:r w:rsidR="001A2FA1" w:rsidRPr="00A5705D">
        <w:rPr>
          <w:rFonts w:hAnsi="Calibri" w:cs="Calibri"/>
          <w:sz w:val="24"/>
          <w:szCs w:val="24"/>
        </w:rPr>
        <w:t>wskazan</w:t>
      </w:r>
      <w:r w:rsidRPr="00A5705D">
        <w:rPr>
          <w:rFonts w:hAnsi="Calibri" w:cs="Calibri"/>
          <w:sz w:val="24"/>
          <w:szCs w:val="24"/>
        </w:rPr>
        <w:t>ych</w:t>
      </w:r>
      <w:r w:rsidR="001A2FA1" w:rsidRPr="00A5705D">
        <w:rPr>
          <w:rFonts w:hAnsi="Calibri" w:cs="Calibri"/>
          <w:sz w:val="24"/>
          <w:szCs w:val="24"/>
        </w:rPr>
        <w:t xml:space="preserve"> </w:t>
      </w:r>
      <w:r w:rsidR="001A2FA1" w:rsidRPr="00F52805">
        <w:rPr>
          <w:rFonts w:hAnsi="Calibri" w:cs="Calibri"/>
          <w:sz w:val="24"/>
          <w:szCs w:val="24"/>
        </w:rPr>
        <w:t>przez uczestnika Programu</w:t>
      </w:r>
      <w:r w:rsidR="00F74BFD" w:rsidRPr="00F52805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F52805">
        <w:rPr>
          <w:rFonts w:hAnsi="Calibri" w:cs="Calibri"/>
          <w:sz w:val="24"/>
          <w:szCs w:val="24"/>
        </w:rPr>
        <w:t>kupuje usługi opieki wytchnieniowej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9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wytchnieniowej.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wytchnieniowej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wytchnieniowej</w:t>
      </w:r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>usługa opieki wytchnieniowej</w:t>
      </w:r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wytchnieniowej,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>305, z późn.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lastRenderedPageBreak/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późn.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>, z późn.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0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77777777" w:rsidR="00AB1954" w:rsidRPr="000339C9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1"/>
      <w:r w:rsidRPr="000339C9">
        <w:rPr>
          <w:rFonts w:ascii="Calibri" w:hAnsi="Calibri" w:cs="Calibri"/>
          <w:sz w:val="28"/>
          <w:szCs w:val="28"/>
        </w:rPr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1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>gminy/powiatu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>w zależności od planowanej formy realizacji usług opieki wytchnieniowej)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>jest składany wyłącznie w postaci elektronicznej i należy przesłać go za  pośrednictwem platformy ePUAP.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>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>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wytchnieniowej.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2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2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 xml:space="preserve">Dz. U. z 2019 r. poz. 1781) oraz rozporządzenia Parlamentu Europejskiego i Rady (UE) 2016/679 z dnia 27 kwietnia 2016 r. w sprawie ochrony osób fizycznych w związku z przetwarzaniem danych osobowych i w sprawie swobodnego </w:t>
      </w:r>
      <w:r w:rsidR="003643CB" w:rsidRPr="000339C9">
        <w:rPr>
          <w:rFonts w:ascii="Calibri" w:hAnsi="Calibri" w:cs="Calibri"/>
          <w:szCs w:val="24"/>
        </w:rPr>
        <w:lastRenderedPageBreak/>
        <w:t>przepływu takich danych oraz uchylenia dyrektywy 95/46/WE (ogólne rozporządzenie o ochronie danych) (Urz. UE L 119 z 04.05.2016, str. 1, z późn.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0C84DEF1" w14:textId="77777777" w:rsidR="00FD7146" w:rsidRPr="00FD7146" w:rsidRDefault="00CC56D3" w:rsidP="00FD7146">
      <w:pPr>
        <w:pStyle w:val="Akapitzlist"/>
        <w:numPr>
          <w:ilvl w:val="0"/>
          <w:numId w:val="21"/>
        </w:numPr>
        <w:spacing w:after="1440" w:line="360" w:lineRule="auto"/>
        <w:ind w:left="357" w:hanging="357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  <w:bookmarkStart w:id="13" w:name="_Toc84493423"/>
    </w:p>
    <w:p w14:paraId="1F157994" w14:textId="60698470" w:rsidR="003B5D11" w:rsidRPr="000339C9" w:rsidRDefault="00FD7146" w:rsidP="00FD7146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8"/>
          <w:szCs w:val="28"/>
        </w:rPr>
        <w:lastRenderedPageBreak/>
        <w:t xml:space="preserve"> </w:t>
      </w:r>
      <w:r w:rsidR="004A0AAC" w:rsidRPr="000339C9">
        <w:rPr>
          <w:rFonts w:hAnsi="Calibri" w:cs="Calibri"/>
          <w:sz w:val="28"/>
          <w:szCs w:val="28"/>
        </w:rPr>
        <w:t xml:space="preserve">X. </w:t>
      </w:r>
      <w:r w:rsidR="003B5D11" w:rsidRPr="000339C9">
        <w:rPr>
          <w:rFonts w:hAnsi="Calibri" w:cs="Calibri"/>
          <w:sz w:val="28"/>
          <w:szCs w:val="28"/>
        </w:rPr>
        <w:t>Tryb przystąpienia do Programu</w:t>
      </w:r>
      <w:bookmarkEnd w:id="13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>Opieka wytchnieniowa"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szczególności przewidywaną liczbę uczestników Programu i koszt realizacji usługi opieki wytchnieniowej.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4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4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>„Opieka wytchnieniowa”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koszt jednej godziny zegarowej wynagrodzenia z tytułu świadczenia usług opieki wytchnieniowej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odzin usług opieki wytchnieniowej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kalkulacji kosztów realizacji usług opieki wytchnieniowej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5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5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wytchnieniowa”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</w:t>
      </w:r>
      <w:r w:rsidR="009800D4" w:rsidRPr="009800D4">
        <w:rPr>
          <w:rFonts w:hAnsi="Calibri" w:cs="Calibri"/>
          <w:sz w:val="24"/>
          <w:szCs w:val="24"/>
        </w:rPr>
        <w:lastRenderedPageBreak/>
        <w:t>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rozliczenia usług opieki wytchnieniowej</w:t>
      </w:r>
      <w:r w:rsidR="00006048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oceny wniosku gminy/powiatu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6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>Opieka wytchnieniowa”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6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klauzuli informacyjnej w ramach Programu „Opieka wytchnieniowa”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>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339C9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339C9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339C9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>nformowani</w:t>
      </w:r>
      <w:r w:rsidR="00DD76F5" w:rsidRPr="000339C9">
        <w:rPr>
          <w:rFonts w:eastAsia="Times New Roman" w:hAnsi="Calibri" w:cs="Calibri"/>
          <w:sz w:val="24"/>
          <w:szCs w:val="24"/>
        </w:rPr>
        <w:t>e</w:t>
      </w:r>
      <w:r w:rsidRPr="000339C9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</w:t>
      </w:r>
      <w:r w:rsidR="00F040C5" w:rsidRPr="000339C9">
        <w:rPr>
          <w:rFonts w:hAnsi="Calibri" w:cs="Calibri"/>
          <w:sz w:val="24"/>
          <w:szCs w:val="24"/>
        </w:rPr>
        <w:t>mieszczani</w:t>
      </w:r>
      <w:r w:rsidRPr="000339C9">
        <w:rPr>
          <w:rFonts w:hAnsi="Calibri" w:cs="Calibri"/>
          <w:sz w:val="24"/>
          <w:szCs w:val="24"/>
        </w:rPr>
        <w:t>e</w:t>
      </w:r>
      <w:r w:rsidR="00F040C5" w:rsidRPr="000339C9">
        <w:rPr>
          <w:rFonts w:hAnsi="Calibri"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7" w:name="_Toc84493426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7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7E38A1DF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</w:p>
    <w:p w14:paraId="6773F8D9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>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wytchnieniowej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>oceny wniosku gminy/powiatu 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>Opieka wytchnieniowa</w:t>
      </w:r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5517C18B" w14:textId="405772CC" w:rsidR="001C2CA3" w:rsidRPr="000339C9" w:rsidRDefault="001C2CA3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lastRenderedPageBreak/>
        <w:t xml:space="preserve">Wzór klauzuli informacyjnej w ramach Programu „Opieka </w:t>
      </w:r>
      <w:r w:rsidR="001263C9">
        <w:rPr>
          <w:rFonts w:hAnsi="Calibri" w:cs="Calibri"/>
          <w:color w:val="000000"/>
          <w:sz w:val="20"/>
        </w:rPr>
        <w:t>wytchnieniowa”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</w:p>
    <w:p w14:paraId="7C85172B" w14:textId="77777777" w:rsidR="001C2CA3" w:rsidRPr="000339C9" w:rsidRDefault="001C2CA3" w:rsidP="00E22361">
      <w:pPr>
        <w:snapToGrid w:val="0"/>
        <w:spacing w:after="0" w:line="240" w:lineRule="auto"/>
        <w:ind w:left="720"/>
        <w:rPr>
          <w:rFonts w:hAnsi="Calibri" w:cs="Calibri"/>
          <w:sz w:val="20"/>
        </w:rPr>
      </w:pPr>
    </w:p>
    <w:p w14:paraId="2CD7B298" w14:textId="77777777" w:rsidR="00D218D1" w:rsidRPr="000339C9" w:rsidRDefault="00D218D1" w:rsidP="00517A67">
      <w:pPr>
        <w:snapToGrid w:val="0"/>
        <w:spacing w:after="0" w:line="240" w:lineRule="auto"/>
        <w:ind w:left="720"/>
        <w:jc w:val="both"/>
        <w:rPr>
          <w:rFonts w:hAnsi="Calibri" w:cs="Calibri"/>
          <w:sz w:val="20"/>
        </w:rPr>
      </w:pPr>
    </w:p>
    <w:sectPr w:rsidR="00D218D1" w:rsidRPr="000339C9">
      <w:footerReference w:type="default" r:id="rId8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CACA" w14:textId="77777777" w:rsidR="00E55FA6" w:rsidRDefault="00E55FA6">
      <w:pPr>
        <w:spacing w:after="0" w:line="240" w:lineRule="auto"/>
      </w:pPr>
      <w:r>
        <w:separator/>
      </w:r>
    </w:p>
  </w:endnote>
  <w:endnote w:type="continuationSeparator" w:id="0">
    <w:p w14:paraId="45C73BA3" w14:textId="77777777" w:rsidR="00E55FA6" w:rsidRDefault="00E55FA6">
      <w:pPr>
        <w:spacing w:after="0" w:line="240" w:lineRule="auto"/>
      </w:pPr>
      <w:r>
        <w:continuationSeparator/>
      </w:r>
    </w:p>
  </w:endnote>
  <w:endnote w:type="continuationNotice" w:id="1">
    <w:p w14:paraId="641A7486" w14:textId="77777777" w:rsidR="00E55FA6" w:rsidRDefault="00E55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333E" w14:textId="425CACCB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FD7146">
      <w:rPr>
        <w:rFonts w:ascii="Times New Roman" w:hAnsi="Times New Roman"/>
        <w:noProof/>
        <w:color w:val="000000"/>
      </w:rPr>
      <w:t>20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7C8D" w14:textId="77777777" w:rsidR="00E55FA6" w:rsidRDefault="00E55FA6">
      <w:pPr>
        <w:spacing w:after="0" w:line="240" w:lineRule="auto"/>
      </w:pPr>
      <w:r>
        <w:separator/>
      </w:r>
    </w:p>
  </w:footnote>
  <w:footnote w:type="continuationSeparator" w:id="0">
    <w:p w14:paraId="6402D309" w14:textId="77777777" w:rsidR="00E55FA6" w:rsidRDefault="00E55FA6">
      <w:pPr>
        <w:spacing w:after="0" w:line="240" w:lineRule="auto"/>
      </w:pPr>
      <w:r>
        <w:continuationSeparator/>
      </w:r>
    </w:p>
  </w:footnote>
  <w:footnote w:type="continuationNotice" w:id="1">
    <w:p w14:paraId="1808C4F6" w14:textId="77777777" w:rsidR="00E55FA6" w:rsidRDefault="00E55FA6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wytchnieniowej w domu pomocy społecznej jedynie w przypadku kiedy </w:t>
      </w:r>
      <w:r w:rsidR="00AE720D" w:rsidRPr="00AE720D">
        <w:rPr>
          <w:rFonts w:hAnsi="Calibri" w:cs="Calibri"/>
        </w:rPr>
        <w:t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wytchnieniowej.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>Gmina lub powiat przystępując do realizacji usług opieki wytchnieniowej w ramach P</w:t>
      </w:r>
      <w:r w:rsidR="00852FEE">
        <w:rPr>
          <w:rFonts w:eastAsia="Times New Roman" w:hAnsi="Calibri" w:cs="Calibri"/>
          <w:color w:val="000000"/>
        </w:rPr>
        <w:t>rogramu „Opieka w</w:t>
      </w:r>
      <w:r w:rsidR="00491BC7" w:rsidRPr="00AE720D">
        <w:rPr>
          <w:rFonts w:eastAsia="Times New Roman" w:hAnsi="Calibri" w:cs="Calibri"/>
          <w:color w:val="000000"/>
        </w:rPr>
        <w:t xml:space="preserve">ytchnieniowa”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wytchnieniowej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 w15:restartNumberingAfterBreak="0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 w15:restartNumberingAfterBreak="0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 w15:restartNumberingAfterBreak="0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5"/>
  </w:num>
  <w:num w:numId="19">
    <w:abstractNumId w:val="31"/>
  </w:num>
  <w:num w:numId="20">
    <w:abstractNumId w:val="3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14"/>
  </w:num>
  <w:num w:numId="25">
    <w:abstractNumId w:val="33"/>
  </w:num>
  <w:num w:numId="26">
    <w:abstractNumId w:val="2"/>
  </w:num>
  <w:num w:numId="27">
    <w:abstractNumId w:val="18"/>
  </w:num>
  <w:num w:numId="28">
    <w:abstractNumId w:val="16"/>
  </w:num>
  <w:num w:numId="29">
    <w:abstractNumId w:val="12"/>
  </w:num>
  <w:num w:numId="30">
    <w:abstractNumId w:val="13"/>
  </w:num>
  <w:num w:numId="31">
    <w:abstractNumId w:val="35"/>
  </w:num>
  <w:num w:numId="32">
    <w:abstractNumId w:val="17"/>
  </w:num>
  <w:num w:numId="33">
    <w:abstractNumId w:val="36"/>
  </w:num>
  <w:num w:numId="34">
    <w:abstractNumId w:val="7"/>
  </w:num>
  <w:num w:numId="35">
    <w:abstractNumId w:val="0"/>
  </w:num>
  <w:num w:numId="36">
    <w:abstractNumId w:val="34"/>
  </w:num>
  <w:num w:numId="37">
    <w:abstractNumId w:val="32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20B1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48A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325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4501"/>
    <w:rsid w:val="00A44E3B"/>
    <w:rsid w:val="00A4556B"/>
    <w:rsid w:val="00A46583"/>
    <w:rsid w:val="00A50FCF"/>
    <w:rsid w:val="00A514A1"/>
    <w:rsid w:val="00A51CA5"/>
    <w:rsid w:val="00A5343F"/>
    <w:rsid w:val="00A54CE7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5FA6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146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  <w15:docId w15:val="{828FBFBF-DD8E-43BF-BFC3-8A02305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7FC8-B1CA-484D-B322-BFE2504E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6431</Words>
  <Characters>38587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44929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subject/>
  <dc:creator>El?bieta Gimlewicz</dc:creator>
  <cp:keywords/>
  <dc:description/>
  <cp:lastModifiedBy>mopr mopr</cp:lastModifiedBy>
  <cp:revision>2</cp:revision>
  <cp:lastPrinted>2021-09-03T13:06:00Z</cp:lastPrinted>
  <dcterms:created xsi:type="dcterms:W3CDTF">2022-02-02T08:39:00Z</dcterms:created>
  <dcterms:modified xsi:type="dcterms:W3CDTF">2022-02-02T08:39:00Z</dcterms:modified>
</cp:coreProperties>
</file>